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0131/2020 vom 18. August 2020</w:t>
      </w:r>
    </w:p>
    <w:p>
      <w:r>
        <w:t>ZH Baurekursgericht, 2020-08-18, DE</w:t>
      </w:r>
    </w:p>
    <w:p>
      <w:r>
        <w:rPr>
          <w:b/>
        </w:rPr>
        <w:t xml:space="preserve">Quelle: </w:t>
      </w:r>
      <w:r>
        <w:t>https://mcp.opencaselaw.ch/entscheid/zh_baurekursgericht_BRGE II Nr. 0131_2020</w:t>
      </w:r>
    </w:p>
    <w:p>
      <w:r>
        <w:t>FR: ZH_BAUREKURSGERICHT BRGE II Nr. 0131/2020 du 18 août 2020</w:t>
      </w:r>
    </w:p>
    <w:p>
      <w:r>
        <w:t>IT: ZH_BAUREKURSGERICHT BRGE II Nr. 0131/2020 del 18 agosto 2020</w:t>
      </w:r>
    </w:p>
    <w:p>
      <w:pPr>
        <w:pStyle w:val="Heading2"/>
      </w:pPr>
      <w:r>
        <w:t>Regeste</w:t>
      </w:r>
    </w:p>
    <w:p>
      <w:r>
        <w:t>Die Regelung im Zusammenschlussvertrag, wonach die Bau- und Zonenordnungen der involvierten Gemeinden innerhalb der bisherigen territorialen Grenzen jeweils ihre Gültigkeit bis zum Inkrafttreten einer für das gesamte Gebiet der erweiterten Gemeinde gültigen Bau- und Zonenordnung behalten, war nicht zu beanstanden. Sodann erwies sich eine kommunale Bestimmung betreffend die Gewährung eines Ausnützungsbonus bei behindertengerechtem Bauen als rechtens. Insbesondere widersprach diese Bestimmung weder übergeordneten Planungsgrundsätzen noch dem übergeordneten Recht und war im vorliegenden Fall dementsprechend anzuwenden. Sämtliche Rügen der rekurrierenden Nachbarn erwiesen sich als nicht stichhaltig, weshalb der Rekurs abgewiesen wurde.</w:t>
      </w:r>
    </w:p>
    <w:p>
      <w:pPr>
        <w:pStyle w:val="Heading2"/>
      </w:pPr>
      <w:r>
        <w:t>Erwägungen</w:t>
      </w:r>
    </w:p>
    <w:p>
      <w:r>
        <w:rPr>
          <w:b/>
        </w:rPr>
        <w:t>E. 2</w:t>
      </w:r>
    </w:p>
    <w:p>
      <w:r>
        <w:t>Die Baugrundstücke Kat.-Nrn. 1 und 2 liegen zum grössten Teil in der Wohnzone W2/30% sowie im Übrigen in der Wohnzone W2/40% gemäss Bau- und Zonenordnung der Stadt X (BZO), welche mit dem angefochtenen Entscheid zum Grundstück Kat.-Nr. 5 vereinigt werden sollen. Das Grund- stück Kat.-Nr. 1 ist sowohl über die im Südosten vorbeiführende U.-Strasse erschlossen als auch über die L.-Strasse, welche im Nordosten verläuft. R2.2020.00044 Seite 3</w:t>
      </w:r>
    </w:p>
    <w:p>
      <w:r>
        <w:t>Die private Rekursgegnerin plant auf den Baugrundstücken die Erstellung von fünf Mehrfamilienhäusern mit total 50 Wohnungen. Im Untergeschoss soll die erwähnte über die U.-Strasse zugängliche Tiefgarage für 79 Autos,</w:t>
      </w:r>
    </w:p>
    <w:p>
      <w:r>
        <w:rPr>
          <w:b/>
        </w:rPr>
        <w:t>E. 5</w:t>
      </w:r>
    </w:p>
    <w:p>
      <w:r>
        <w:t>Zusammengefasst ist der Rekurs abzuweisen. Ausgangsgemäss sind die Verfahrenskosten unter solidarischer Haftung eines jeden Rekurrierenden R2.2020.00044 Seite 17</w:t>
      </w:r>
    </w:p>
    <w:p>
      <w:r>
        <w:t>den Rekurrentschaften 1 und 2 je zur Hälfte aufzuerlegen (§ 13 des Verwal- 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w:t>
      </w:r>
    </w:p>
    <w:p>
      <w:r>
        <w:rPr>
          <w:b/>
        </w:rPr>
        <w:t>E. 6</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privaten Rekurs- gegnerin zulasten der Rekurrierenden eine Umtriebsentschädigung zuzu- sprechen. Angemessen erscheint ein Betrag von total Fr. 2'000.--. […] R2.2020.00044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